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CC" w:rsidRPr="00562A19" w:rsidRDefault="0016351D" w:rsidP="0016351D">
      <w:pPr>
        <w:jc w:val="center"/>
        <w:rPr>
          <w:rFonts w:asciiTheme="majorHAnsi" w:hAnsiTheme="majorHAnsi"/>
          <w:b/>
          <w:sz w:val="24"/>
          <w:szCs w:val="24"/>
        </w:rPr>
      </w:pPr>
      <w:r w:rsidRPr="00562A19">
        <w:rPr>
          <w:rFonts w:asciiTheme="majorHAnsi" w:hAnsiTheme="majorHAnsi"/>
          <w:b/>
          <w:sz w:val="24"/>
          <w:szCs w:val="24"/>
        </w:rPr>
        <w:t>DISCERNIMENTO</w:t>
      </w:r>
    </w:p>
    <w:p w:rsidR="0016351D" w:rsidRPr="00562A19" w:rsidRDefault="0016351D" w:rsidP="0016351D">
      <w:pPr>
        <w:jc w:val="center"/>
        <w:rPr>
          <w:rFonts w:asciiTheme="majorHAnsi" w:hAnsiTheme="majorHAnsi"/>
          <w:b/>
          <w:sz w:val="24"/>
          <w:szCs w:val="24"/>
        </w:rPr>
      </w:pPr>
      <w:r w:rsidRPr="00562A19">
        <w:rPr>
          <w:rFonts w:asciiTheme="majorHAnsi" w:hAnsiTheme="majorHAnsi"/>
          <w:b/>
          <w:sz w:val="24"/>
          <w:szCs w:val="24"/>
        </w:rPr>
        <w:t>AT/NT</w:t>
      </w:r>
    </w:p>
    <w:p w:rsidR="0016351D" w:rsidRDefault="0016351D" w:rsidP="0016351D">
      <w:pPr>
        <w:jc w:val="both"/>
        <w:rPr>
          <w:rFonts w:asciiTheme="majorHAnsi" w:hAnsiTheme="majorHAnsi"/>
          <w:sz w:val="24"/>
          <w:szCs w:val="24"/>
        </w:rPr>
      </w:pPr>
      <w:r w:rsidRPr="00562A19">
        <w:rPr>
          <w:rFonts w:asciiTheme="majorHAnsi" w:hAnsiTheme="majorHAnsi"/>
          <w:b/>
          <w:sz w:val="24"/>
          <w:szCs w:val="24"/>
        </w:rPr>
        <w:t>Da cosa guardarsi? Da cosa stare attenti?</w:t>
      </w:r>
    </w:p>
    <w:p w:rsidR="0016351D" w:rsidRDefault="0016351D" w:rsidP="0016351D">
      <w:pPr>
        <w:pStyle w:val="Paragrafoelenco"/>
        <w:numPr>
          <w:ilvl w:val="0"/>
          <w:numId w:val="1"/>
        </w:numPr>
        <w:jc w:val="both"/>
        <w:rPr>
          <w:rFonts w:asciiTheme="majorHAnsi" w:hAnsiTheme="majorHAnsi"/>
          <w:sz w:val="24"/>
          <w:szCs w:val="24"/>
        </w:rPr>
      </w:pPr>
      <w:r>
        <w:rPr>
          <w:rFonts w:asciiTheme="majorHAnsi" w:hAnsiTheme="majorHAnsi"/>
          <w:sz w:val="24"/>
          <w:szCs w:val="24"/>
        </w:rPr>
        <w:t xml:space="preserve">Dalla forza pervasiva dell’esteriorità che conduce all’idolatria. </w:t>
      </w:r>
    </w:p>
    <w:p w:rsidR="0016351D" w:rsidRDefault="0016351D" w:rsidP="0016351D">
      <w:pPr>
        <w:pStyle w:val="Paragrafoelenco"/>
        <w:numPr>
          <w:ilvl w:val="0"/>
          <w:numId w:val="1"/>
        </w:numPr>
        <w:jc w:val="both"/>
        <w:rPr>
          <w:rFonts w:asciiTheme="majorHAnsi" w:hAnsiTheme="majorHAnsi"/>
          <w:sz w:val="24"/>
          <w:szCs w:val="24"/>
        </w:rPr>
      </w:pPr>
      <w:r>
        <w:rPr>
          <w:rFonts w:asciiTheme="majorHAnsi" w:hAnsiTheme="majorHAnsi"/>
          <w:sz w:val="24"/>
          <w:szCs w:val="24"/>
        </w:rPr>
        <w:t>Dalla menzogna delle cose ritenute evidenti.</w:t>
      </w:r>
    </w:p>
    <w:p w:rsidR="0016351D" w:rsidRDefault="0016351D" w:rsidP="0016351D">
      <w:pPr>
        <w:pStyle w:val="Paragrafoelenco"/>
        <w:numPr>
          <w:ilvl w:val="0"/>
          <w:numId w:val="1"/>
        </w:numPr>
        <w:jc w:val="both"/>
        <w:rPr>
          <w:rFonts w:asciiTheme="majorHAnsi" w:hAnsiTheme="majorHAnsi"/>
          <w:sz w:val="24"/>
          <w:szCs w:val="24"/>
        </w:rPr>
      </w:pPr>
      <w:r>
        <w:rPr>
          <w:rFonts w:asciiTheme="majorHAnsi" w:hAnsiTheme="majorHAnsi"/>
          <w:sz w:val="24"/>
          <w:szCs w:val="24"/>
        </w:rPr>
        <w:t>Dalla vana certezza di ogni apparire.</w:t>
      </w:r>
    </w:p>
    <w:p w:rsidR="0016351D" w:rsidRDefault="0016351D" w:rsidP="0016351D">
      <w:pPr>
        <w:jc w:val="both"/>
        <w:rPr>
          <w:rFonts w:asciiTheme="majorHAnsi" w:hAnsiTheme="majorHAnsi"/>
          <w:sz w:val="24"/>
          <w:szCs w:val="24"/>
        </w:rPr>
      </w:pPr>
    </w:p>
    <w:p w:rsidR="0016351D" w:rsidRDefault="0016351D" w:rsidP="0016351D">
      <w:pPr>
        <w:jc w:val="both"/>
        <w:rPr>
          <w:rFonts w:asciiTheme="majorHAnsi" w:hAnsiTheme="majorHAnsi"/>
          <w:sz w:val="24"/>
          <w:szCs w:val="24"/>
        </w:rPr>
      </w:pPr>
    </w:p>
    <w:p w:rsidR="0016351D" w:rsidRPr="009257B6" w:rsidRDefault="0016351D" w:rsidP="0016351D">
      <w:pPr>
        <w:pStyle w:val="Paragrafoelenco"/>
        <w:numPr>
          <w:ilvl w:val="0"/>
          <w:numId w:val="3"/>
        </w:numPr>
        <w:jc w:val="both"/>
        <w:rPr>
          <w:rFonts w:asciiTheme="majorHAnsi" w:hAnsiTheme="majorHAnsi"/>
          <w:i/>
          <w:sz w:val="24"/>
          <w:szCs w:val="24"/>
        </w:rPr>
      </w:pPr>
      <w:r w:rsidRPr="009257B6">
        <w:rPr>
          <w:rFonts w:asciiTheme="majorHAnsi" w:hAnsiTheme="majorHAnsi"/>
          <w:i/>
          <w:sz w:val="24"/>
          <w:szCs w:val="24"/>
        </w:rPr>
        <w:t>Grandiosità dell’esteriorità ed idolatria.</w:t>
      </w:r>
    </w:p>
    <w:p w:rsidR="0016351D" w:rsidRDefault="0016351D" w:rsidP="0016351D">
      <w:pPr>
        <w:ind w:left="360"/>
        <w:jc w:val="both"/>
        <w:rPr>
          <w:rFonts w:asciiTheme="majorHAnsi" w:hAnsiTheme="majorHAnsi"/>
          <w:sz w:val="24"/>
          <w:szCs w:val="24"/>
        </w:rPr>
      </w:pPr>
      <w:r>
        <w:rPr>
          <w:rFonts w:asciiTheme="majorHAnsi" w:hAnsiTheme="majorHAnsi"/>
          <w:sz w:val="24"/>
          <w:szCs w:val="24"/>
        </w:rPr>
        <w:t xml:space="preserve">In uno degli oracoli iniziali della sua attività profetica, Isaia si sofferma sulle cose grandiose, a tutti visibili, dicendo che saranno piegate e abbassate. </w:t>
      </w:r>
      <w:r w:rsidR="005E58BE">
        <w:rPr>
          <w:rFonts w:asciiTheme="majorHAnsi" w:hAnsiTheme="majorHAnsi"/>
          <w:sz w:val="24"/>
          <w:szCs w:val="24"/>
        </w:rPr>
        <w:t xml:space="preserve">L’oracolo richiama i cedri del Libano, le navi di </w:t>
      </w:r>
      <w:proofErr w:type="spellStart"/>
      <w:r w:rsidR="005E58BE">
        <w:rPr>
          <w:rFonts w:asciiTheme="majorHAnsi" w:hAnsiTheme="majorHAnsi"/>
          <w:sz w:val="24"/>
          <w:szCs w:val="24"/>
        </w:rPr>
        <w:t>Tarsis</w:t>
      </w:r>
      <w:proofErr w:type="spellEnd"/>
      <w:r w:rsidR="005E58BE">
        <w:rPr>
          <w:rFonts w:asciiTheme="majorHAnsi" w:hAnsiTheme="majorHAnsi"/>
          <w:sz w:val="24"/>
          <w:szCs w:val="24"/>
        </w:rPr>
        <w:t xml:space="preserve"> e poi parla anche di vette dei monti e di torri elevate. Il pensiero va alle ziggurat tipiche della Mesopotamia, tra le prime costruzioni “religiose” dei Sumeri, che potevano raggiungere l’altezza di 90 metri e si elevavano attraverso una lunga serie di terrazzamenti. Queste realtà sono viste dall’autore sacro come il segnale dell’orgoglio dell’uomo che intende innalzarsi fino a Dio. Il testo della Genesi considera questo peccato di </w:t>
      </w:r>
      <w:proofErr w:type="spellStart"/>
      <w:r w:rsidR="005E58BE">
        <w:rPr>
          <w:rFonts w:asciiTheme="majorHAnsi" w:hAnsiTheme="majorHAnsi"/>
          <w:i/>
          <w:sz w:val="24"/>
          <w:szCs w:val="24"/>
        </w:rPr>
        <w:t>hybris</w:t>
      </w:r>
      <w:proofErr w:type="spellEnd"/>
      <w:r w:rsidR="005E58BE">
        <w:rPr>
          <w:rFonts w:asciiTheme="majorHAnsi" w:hAnsiTheme="majorHAnsi"/>
          <w:sz w:val="24"/>
          <w:szCs w:val="24"/>
        </w:rPr>
        <w:t xml:space="preserve"> come un tentativo di farsi un nome, e quindi l’espressione di una manifestazione di forza. Anche il salmista afferma che c’è chi si vanta dei carri e chi dei cavalli, mentre colui che ha fede e si sente in relazione con Dio potrà dire: “Noi siamo forti nel nome del Signore”. E’ innegabile che c’è una grandiosità che anche oggi come allora attrae. Non mancano ai giorni nostri le manifestazioni di orgoglio e superbia. Se tutto ciò è evidente sul piano architettonico, i grattacieli in un certo modo possono essere assunti come paradigma similare a quello delle ziggurat, anche se in un contesto più laico e indifferente al fatto religioso, si registrano diversi ambiti dove orgoglio e superbia appaiono più celati. Essi non si riconoscono subito, ma poi si svelano per il malcelato ricorso all’autoreferenzialità che insieme alla vanagloria, contamina molte opere umane. La consolazione che deriva dall’esteriorità apprezzata, ostentata e vantata conduce verso l’idolatria. </w:t>
      </w:r>
      <w:r w:rsidR="00B060B0">
        <w:rPr>
          <w:rFonts w:asciiTheme="majorHAnsi" w:hAnsiTheme="majorHAnsi"/>
          <w:sz w:val="24"/>
          <w:szCs w:val="24"/>
        </w:rPr>
        <w:t xml:space="preserve">L’uomo che esulta di fronte all’opera delle proprie mani finisce con l’adorare se stesso. Gli idoli sono da sempre, secondo la Scrittura, i rivali di Dio. </w:t>
      </w:r>
      <w:r w:rsidR="009257B6">
        <w:rPr>
          <w:rFonts w:asciiTheme="majorHAnsi" w:hAnsiTheme="majorHAnsi"/>
          <w:sz w:val="24"/>
          <w:szCs w:val="24"/>
        </w:rPr>
        <w:t xml:space="preserve">forse non è un caso se una frase molto ricorrente nel gergo comune, quando si deve manifestare l’apprezzamento per qualcosa, è “l’adoro”. C’è chi lo ripete costantemente: “Adoro”. È certamente un tempo di grande confusione, distrazione e disorientamento. </w:t>
      </w:r>
    </w:p>
    <w:p w:rsidR="009257B6" w:rsidRDefault="009257B6" w:rsidP="0016351D">
      <w:pPr>
        <w:ind w:left="360"/>
        <w:jc w:val="both"/>
        <w:rPr>
          <w:rFonts w:asciiTheme="majorHAnsi" w:hAnsiTheme="majorHAnsi"/>
          <w:sz w:val="24"/>
          <w:szCs w:val="24"/>
        </w:rPr>
      </w:pPr>
      <w:r>
        <w:rPr>
          <w:rFonts w:asciiTheme="majorHAnsi" w:hAnsiTheme="majorHAnsi"/>
          <w:sz w:val="24"/>
          <w:szCs w:val="24"/>
        </w:rPr>
        <w:t xml:space="preserve">La prima lettera di Giovanni (1 Gv 2,11-17) segnala tre realtà da evitare, tre cose non gradite a Dio: la concupiscenza della carne, la concupiscenza degli occhi e la superbia della vita. sono queste le forze che paiono guidare il mondo: la sensualità, la seduzione delle apparenze e l’orgoglio superbo che deriva dal possesso dei beni, siano essi materiali o no. I libri sapienziali della Bibbia hanno più volte segnalato che gli occhi dell’uomo non si saziano mai, l’uomo non si stanca mai di guardare. Il problema è che accade la stessa cosa per gli inferi e per gli abissi (Pr 27,20; 30,15-16). Inoltre non tutto ciò che si può guardare </w:t>
      </w:r>
      <w:r>
        <w:rPr>
          <w:rFonts w:asciiTheme="majorHAnsi" w:hAnsiTheme="majorHAnsi"/>
          <w:sz w:val="24"/>
          <w:szCs w:val="24"/>
        </w:rPr>
        <w:lastRenderedPageBreak/>
        <w:t xml:space="preserve">fa bene guardare. Questo perché, come insegna il saggio </w:t>
      </w:r>
      <w:proofErr w:type="spellStart"/>
      <w:r>
        <w:rPr>
          <w:rFonts w:asciiTheme="majorHAnsi" w:hAnsiTheme="majorHAnsi"/>
          <w:sz w:val="24"/>
          <w:szCs w:val="24"/>
        </w:rPr>
        <w:t>Qoelet</w:t>
      </w:r>
      <w:proofErr w:type="spellEnd"/>
      <w:r>
        <w:rPr>
          <w:rFonts w:asciiTheme="majorHAnsi" w:hAnsiTheme="majorHAnsi"/>
          <w:sz w:val="24"/>
          <w:szCs w:val="24"/>
        </w:rPr>
        <w:t>, la brama dell’uomo non è mai sazia (Qo 6,7). E inoltre, ogni vanto della propria superbia è iniquo (Gc 4,16). Anche l’Apostolo Paolo offre una chiara chiave di lettura: “Le cose visibili sono di un momento, quelle invisibili sono eterne” (2 Cor 4,18).</w:t>
      </w:r>
    </w:p>
    <w:p w:rsidR="009257B6" w:rsidRPr="00252BDF" w:rsidRDefault="00252BDF" w:rsidP="0016351D">
      <w:pPr>
        <w:ind w:left="360"/>
        <w:jc w:val="both"/>
        <w:rPr>
          <w:rFonts w:asciiTheme="majorHAnsi" w:hAnsiTheme="majorHAnsi"/>
          <w:sz w:val="24"/>
          <w:szCs w:val="24"/>
        </w:rPr>
      </w:pPr>
      <w:r>
        <w:rPr>
          <w:rFonts w:asciiTheme="majorHAnsi" w:hAnsiTheme="majorHAnsi"/>
          <w:sz w:val="24"/>
          <w:szCs w:val="24"/>
        </w:rPr>
        <w:t xml:space="preserve">Il termine del greco biblico utilizzato per dire “concupiscenza” è </w:t>
      </w:r>
      <w:proofErr w:type="spellStart"/>
      <w:r>
        <w:rPr>
          <w:rFonts w:asciiTheme="majorHAnsi" w:hAnsiTheme="majorHAnsi"/>
          <w:i/>
          <w:sz w:val="24"/>
          <w:szCs w:val="24"/>
        </w:rPr>
        <w:t>epithumia</w:t>
      </w:r>
      <w:proofErr w:type="spellEnd"/>
      <w:r>
        <w:rPr>
          <w:rFonts w:asciiTheme="majorHAnsi" w:hAnsiTheme="majorHAnsi"/>
          <w:sz w:val="24"/>
          <w:szCs w:val="24"/>
        </w:rPr>
        <w:t xml:space="preserve">, che in latino si traduce </w:t>
      </w:r>
      <w:proofErr w:type="spellStart"/>
      <w:r>
        <w:rPr>
          <w:rFonts w:asciiTheme="majorHAnsi" w:hAnsiTheme="majorHAnsi"/>
          <w:i/>
          <w:sz w:val="24"/>
          <w:szCs w:val="24"/>
        </w:rPr>
        <w:t>desiderium</w:t>
      </w:r>
      <w:proofErr w:type="spellEnd"/>
      <w:r>
        <w:rPr>
          <w:rFonts w:asciiTheme="majorHAnsi" w:hAnsiTheme="majorHAnsi"/>
          <w:i/>
          <w:sz w:val="24"/>
          <w:szCs w:val="24"/>
        </w:rPr>
        <w:t xml:space="preserve"> </w:t>
      </w:r>
      <w:r>
        <w:rPr>
          <w:rFonts w:asciiTheme="majorHAnsi" w:hAnsiTheme="majorHAnsi"/>
          <w:sz w:val="24"/>
          <w:szCs w:val="24"/>
        </w:rPr>
        <w:t xml:space="preserve">o anche </w:t>
      </w:r>
      <w:proofErr w:type="spellStart"/>
      <w:r>
        <w:rPr>
          <w:rFonts w:asciiTheme="majorHAnsi" w:hAnsiTheme="majorHAnsi"/>
          <w:i/>
          <w:sz w:val="24"/>
          <w:szCs w:val="24"/>
        </w:rPr>
        <w:t>concupiscentia</w:t>
      </w:r>
      <w:proofErr w:type="spellEnd"/>
      <w:r>
        <w:rPr>
          <w:rFonts w:asciiTheme="majorHAnsi" w:hAnsiTheme="majorHAnsi"/>
          <w:sz w:val="24"/>
          <w:szCs w:val="24"/>
        </w:rPr>
        <w:t xml:space="preserve">. Per </w:t>
      </w:r>
      <w:proofErr w:type="spellStart"/>
      <w:r>
        <w:rPr>
          <w:rFonts w:asciiTheme="majorHAnsi" w:hAnsiTheme="majorHAnsi"/>
          <w:i/>
          <w:sz w:val="24"/>
          <w:szCs w:val="24"/>
        </w:rPr>
        <w:t>epithumia</w:t>
      </w:r>
      <w:proofErr w:type="spellEnd"/>
      <w:r>
        <w:rPr>
          <w:rFonts w:asciiTheme="majorHAnsi" w:hAnsiTheme="majorHAnsi"/>
          <w:sz w:val="24"/>
          <w:szCs w:val="24"/>
        </w:rPr>
        <w:t xml:space="preserve"> s’intende qualcosa che s’installa sopra la testa, una sorta di protuberanza che appesantisce e condiziona il pensare, provocando preoccupazioni e pensieri aggressivi o a volte pure remissivi, di scoraggiamento. </w:t>
      </w:r>
      <w:r>
        <w:rPr>
          <w:rFonts w:asciiTheme="majorHAnsi" w:hAnsiTheme="majorHAnsi"/>
          <w:i/>
          <w:sz w:val="24"/>
          <w:szCs w:val="24"/>
        </w:rPr>
        <w:t>L’</w:t>
      </w:r>
      <w:proofErr w:type="spellStart"/>
      <w:r>
        <w:rPr>
          <w:rFonts w:asciiTheme="majorHAnsi" w:hAnsiTheme="majorHAnsi"/>
          <w:i/>
          <w:sz w:val="24"/>
          <w:szCs w:val="24"/>
        </w:rPr>
        <w:t>epithumia</w:t>
      </w:r>
      <w:proofErr w:type="spellEnd"/>
      <w:r>
        <w:rPr>
          <w:rFonts w:asciiTheme="majorHAnsi" w:hAnsiTheme="majorHAnsi"/>
          <w:sz w:val="24"/>
          <w:szCs w:val="24"/>
        </w:rPr>
        <w:t xml:space="preserve"> si oppone alla Parola, provocando la crisi dell’ascolto. Se l’atto del desiderare è una dimensione costitutiva dell’essere umano, il suo trascendere verso una forma morbosa e patologica diviene concupiscenza, inclinazione al male. Abbiamo un </w:t>
      </w:r>
      <w:proofErr w:type="spellStart"/>
      <w:r>
        <w:rPr>
          <w:rFonts w:asciiTheme="majorHAnsi" w:hAnsiTheme="majorHAnsi"/>
          <w:i/>
          <w:sz w:val="24"/>
          <w:szCs w:val="24"/>
        </w:rPr>
        <w:t>logia</w:t>
      </w:r>
      <w:proofErr w:type="spellEnd"/>
      <w:r>
        <w:rPr>
          <w:rFonts w:asciiTheme="majorHAnsi" w:hAnsiTheme="majorHAnsi"/>
          <w:sz w:val="24"/>
          <w:szCs w:val="24"/>
        </w:rPr>
        <w:t xml:space="preserve"> (detto) di Gesù che offre alcune linee interpretative a riguardo. Gesù ha detto che chi guarda una donna per desiderarla ha già commesso adulterio con lei (cf. Mt 5,28). Occorre quindi rieducare lo sguardo. Nell’epoca dell’immagine, del vedere, è un’impresa non facile, ma non impossibile. </w:t>
      </w:r>
    </w:p>
    <w:sectPr w:rsidR="009257B6" w:rsidRPr="00252BDF" w:rsidSect="009106C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279"/>
    <w:multiLevelType w:val="hybridMultilevel"/>
    <w:tmpl w:val="99F4BD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D93448"/>
    <w:multiLevelType w:val="hybridMultilevel"/>
    <w:tmpl w:val="0CD808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F4D1F85"/>
    <w:multiLevelType w:val="hybridMultilevel"/>
    <w:tmpl w:val="694AA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283"/>
  <w:characterSpacingControl w:val="doNotCompress"/>
  <w:compat/>
  <w:rsids>
    <w:rsidRoot w:val="0016351D"/>
    <w:rsid w:val="0016351D"/>
    <w:rsid w:val="00252BDF"/>
    <w:rsid w:val="00562A19"/>
    <w:rsid w:val="005E58BE"/>
    <w:rsid w:val="009106CC"/>
    <w:rsid w:val="009257B6"/>
    <w:rsid w:val="00B060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0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35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1979-12-31T23:30:00Z</dcterms:created>
  <dcterms:modified xsi:type="dcterms:W3CDTF">1980-01-01T00:31:00Z</dcterms:modified>
</cp:coreProperties>
</file>